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C5D778" w14:textId="77777777" w:rsidR="00BE78E4" w:rsidRDefault="001A57A8" w:rsidP="00CA5C31">
      <w:pPr>
        <w:spacing w:after="120"/>
        <w:jc w:val="center"/>
        <w:rPr>
          <w:b/>
          <w:noProof/>
          <w:color w:val="3B6B27"/>
          <w:sz w:val="36"/>
          <w:szCs w:val="36"/>
          <w:lang w:val="en-GB" w:eastAsia="en-GB"/>
        </w:rPr>
      </w:pPr>
      <w:r w:rsidRPr="001A57A8">
        <w:rPr>
          <w:b/>
          <w:noProof/>
          <w:color w:val="3B6B27"/>
          <w:sz w:val="40"/>
          <w:szCs w:val="40"/>
          <w:lang w:val="en-GB" w:eastAsia="en-GB"/>
        </w:rPr>
        <w:drawing>
          <wp:anchor distT="0" distB="0" distL="114300" distR="114300" simplePos="0" relativeHeight="251658240" behindDoc="0" locked="0" layoutInCell="1" allowOverlap="1" wp14:anchorId="7B42351C" wp14:editId="51F0E819">
            <wp:simplePos x="0" y="0"/>
            <wp:positionH relativeFrom="column">
              <wp:posOffset>5158952</wp:posOffset>
            </wp:positionH>
            <wp:positionV relativeFrom="paragraph">
              <wp:posOffset>-603039</wp:posOffset>
            </wp:positionV>
            <wp:extent cx="1508125" cy="978535"/>
            <wp:effectExtent l="0" t="0" r="0" b="0"/>
            <wp:wrapNone/>
            <wp:docPr id="1" name="Picture 1" descr="3RP (2017-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RP (2017-201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08125" cy="978535"/>
                    </a:xfrm>
                    <a:prstGeom prst="rect">
                      <a:avLst/>
                    </a:prstGeom>
                    <a:noFill/>
                    <a:ln>
                      <a:noFill/>
                    </a:ln>
                  </pic:spPr>
                </pic:pic>
              </a:graphicData>
            </a:graphic>
            <wp14:sizeRelH relativeFrom="page">
              <wp14:pctWidth>0</wp14:pctWidth>
            </wp14:sizeRelH>
            <wp14:sizeRelV relativeFrom="page">
              <wp14:pctHeight>0</wp14:pctHeight>
            </wp14:sizeRelV>
          </wp:anchor>
        </w:drawing>
      </w:r>
      <w:r w:rsidR="00CA5C31" w:rsidRPr="00CA5C31">
        <w:t xml:space="preserve"> </w:t>
      </w:r>
      <w:r w:rsidR="00CA5C31" w:rsidRPr="00CA5C31">
        <w:rPr>
          <w:b/>
          <w:noProof/>
          <w:color w:val="3B6B27"/>
          <w:sz w:val="36"/>
          <w:szCs w:val="36"/>
          <w:lang w:val="en-GB" w:eastAsia="en-GB"/>
        </w:rPr>
        <w:t>Overview of 3RP Regional Guidance Kit</w:t>
      </w:r>
    </w:p>
    <w:p w14:paraId="51E7DE86" w14:textId="77777777" w:rsidR="00CA5C31" w:rsidRPr="001A57A8" w:rsidRDefault="00CA5C31" w:rsidP="00CA5C31">
      <w:pPr>
        <w:spacing w:after="120"/>
        <w:jc w:val="center"/>
        <w:rPr>
          <w:b/>
          <w:color w:val="3B6B27"/>
          <w:sz w:val="40"/>
          <w:szCs w:val="40"/>
        </w:rPr>
      </w:pPr>
      <w:r w:rsidRPr="00BD50B1">
        <w:rPr>
          <w:b/>
          <w:color w:val="3B6B27"/>
          <w:sz w:val="32"/>
          <w:szCs w:val="32"/>
        </w:rPr>
        <w:t>for 201</w:t>
      </w:r>
      <w:r>
        <w:rPr>
          <w:b/>
          <w:color w:val="3B6B27"/>
          <w:sz w:val="32"/>
          <w:szCs w:val="32"/>
        </w:rPr>
        <w:t>7-18</w:t>
      </w:r>
      <w:r w:rsidRPr="00BD50B1">
        <w:rPr>
          <w:b/>
          <w:color w:val="3B6B27"/>
          <w:sz w:val="32"/>
          <w:szCs w:val="32"/>
        </w:rPr>
        <w:t xml:space="preserve"> Planning</w:t>
      </w:r>
    </w:p>
    <w:p w14:paraId="4750A2E8" w14:textId="77777777" w:rsidR="003B2862" w:rsidRDefault="003B2862" w:rsidP="003B2862">
      <w:pPr>
        <w:spacing w:after="120"/>
        <w:jc w:val="center"/>
        <w:rPr>
          <w:b/>
          <w:color w:val="9AC31C"/>
        </w:rPr>
      </w:pPr>
    </w:p>
    <w:p w14:paraId="7B866B28" w14:textId="77777777" w:rsidR="00791C50" w:rsidRPr="00441605" w:rsidRDefault="00791C50" w:rsidP="00791C50">
      <w:pPr>
        <w:spacing w:after="120" w:line="240" w:lineRule="auto"/>
        <w:jc w:val="both"/>
      </w:pPr>
      <w:r w:rsidRPr="00441605">
        <w:t xml:space="preserve">The following materials are designed as generic regional guidance to be tailored at the country level in line with specific needs and circumstances in each country. The </w:t>
      </w:r>
      <w:r>
        <w:t>Kit</w:t>
      </w:r>
      <w:r w:rsidRPr="00441605">
        <w:t xml:space="preserve"> provide</w:t>
      </w:r>
      <w:r>
        <w:t>s</w:t>
      </w:r>
      <w:r w:rsidRPr="00441605">
        <w:t xml:space="preserve"> specific guidance on different topics and aspects of 3RP Plan development. They are designed to assist Sector and Inter-sector Coordinators to complete the necessary </w:t>
      </w:r>
      <w:r w:rsidRPr="00441605">
        <w:rPr>
          <w:bCs/>
        </w:rPr>
        <w:t>templates and formats</w:t>
      </w:r>
      <w:r w:rsidRPr="00441605">
        <w:t xml:space="preserve"> that make up their 3RP Plan</w:t>
      </w:r>
      <w:r>
        <w:t>.</w:t>
      </w:r>
    </w:p>
    <w:p w14:paraId="6EC9C54E" w14:textId="77777777" w:rsidR="00791C50" w:rsidRDefault="00791C50" w:rsidP="00791C50">
      <w:pPr>
        <w:spacing w:after="120" w:line="240" w:lineRule="auto"/>
        <w:jc w:val="both"/>
      </w:pPr>
      <w:r>
        <w:t>These materials can serve as recommendations and good practices for planning to be used in full, tailored, or not used at all, depending on the country context. The notes and templates should be considered complementary to any guidance issued at the country level for national planning processes. The materials are not intended as advice or instructions to governments on developing national plans or budgets. They are not intended to replace or supersede any country-level guidance.</w:t>
      </w:r>
    </w:p>
    <w:p w14:paraId="4DA33134" w14:textId="77777777" w:rsidR="00791C50" w:rsidRDefault="00791C50" w:rsidP="00791C50">
      <w:pPr>
        <w:spacing w:after="120" w:line="240" w:lineRule="auto"/>
        <w:jc w:val="both"/>
      </w:pPr>
      <w:r>
        <w:t>The materials were developed by the 3RP Regional Technical Committee, made up of UN and NGO representatives at regional level, in consultation with inter-sector coordinators at the country level.</w:t>
      </w:r>
    </w:p>
    <w:p w14:paraId="08A37914" w14:textId="77777777" w:rsidR="00CA5C31" w:rsidRPr="009845B9" w:rsidRDefault="00CA5C31" w:rsidP="00791C50">
      <w:pPr>
        <w:spacing w:after="120"/>
        <w:jc w:val="lowKashida"/>
        <w:rPr>
          <w:b/>
          <w:color w:val="9AC31C"/>
        </w:rPr>
      </w:pPr>
    </w:p>
    <w:p w14:paraId="026897F0" w14:textId="77777777" w:rsidR="00C33355" w:rsidRPr="003B2862" w:rsidRDefault="003B2862" w:rsidP="00791C50">
      <w:pPr>
        <w:pStyle w:val="Heading1"/>
        <w:ind w:left="431" w:hanging="431"/>
        <w:jc w:val="lowKashida"/>
        <w:rPr>
          <w:color w:val="3B6B27"/>
          <w:sz w:val="24"/>
          <w:szCs w:val="24"/>
        </w:rPr>
      </w:pPr>
      <w:r w:rsidRPr="003B2862">
        <w:rPr>
          <w:color w:val="3B6B27"/>
          <w:sz w:val="24"/>
          <w:szCs w:val="24"/>
        </w:rPr>
        <w:t>General Guidance and Requirements for Country and Regional Planning</w:t>
      </w:r>
    </w:p>
    <w:p w14:paraId="019970FD" w14:textId="77777777" w:rsidR="00791C50" w:rsidRDefault="00791C50" w:rsidP="00791C50">
      <w:pPr>
        <w:spacing w:after="120" w:line="240" w:lineRule="auto"/>
        <w:jc w:val="both"/>
      </w:pPr>
      <w:r>
        <w:t>Provides overall background on the 3RP regional planning approach, the links to national plans, roles and responsibilities, and minimum information baselines.</w:t>
      </w:r>
    </w:p>
    <w:p w14:paraId="7690401F" w14:textId="77777777" w:rsidR="00791C50" w:rsidRDefault="00791C50" w:rsidP="00791C50">
      <w:pPr>
        <w:pStyle w:val="Heading1"/>
        <w:numPr>
          <w:ilvl w:val="0"/>
          <w:numId w:val="0"/>
        </w:numPr>
        <w:ind w:left="431"/>
        <w:jc w:val="lowKashida"/>
        <w:rPr>
          <w:color w:val="3B6B27"/>
          <w:sz w:val="24"/>
          <w:szCs w:val="24"/>
        </w:rPr>
      </w:pPr>
    </w:p>
    <w:p w14:paraId="16F8EE87" w14:textId="77777777" w:rsidR="003F543C" w:rsidRPr="003B2862" w:rsidRDefault="003B2862" w:rsidP="00791C50">
      <w:pPr>
        <w:pStyle w:val="Heading1"/>
        <w:ind w:left="431" w:hanging="431"/>
        <w:jc w:val="lowKashida"/>
        <w:rPr>
          <w:color w:val="3B6B27"/>
          <w:sz w:val="24"/>
          <w:szCs w:val="24"/>
        </w:rPr>
      </w:pPr>
      <w:r w:rsidRPr="003B2862">
        <w:rPr>
          <w:color w:val="3B6B27"/>
          <w:sz w:val="24"/>
          <w:szCs w:val="24"/>
        </w:rPr>
        <w:t>Incorporating and Communicating Resilience Programming in the 3RP</w:t>
      </w:r>
    </w:p>
    <w:p w14:paraId="66E36EDB" w14:textId="3F24AC1E" w:rsidR="00CA5C31" w:rsidRDefault="00CA5C31" w:rsidP="00BD0CEB">
      <w:pPr>
        <w:spacing w:after="120" w:line="240" w:lineRule="auto"/>
        <w:jc w:val="lowKashida"/>
      </w:pPr>
      <w:r>
        <w:t xml:space="preserve">Outlines a Resilience Lens made up of </w:t>
      </w:r>
      <w:r w:rsidR="001302FC">
        <w:t xml:space="preserve">four </w:t>
      </w:r>
      <w:r>
        <w:t>key question</w:t>
      </w:r>
      <w:bookmarkStart w:id="0" w:name="_GoBack"/>
      <w:bookmarkEnd w:id="0"/>
      <w:r>
        <w:t>s to assist 3RP partners in identifying, categorizing, understanding and communicating planned outputs based on their contribution to building resilience.</w:t>
      </w:r>
    </w:p>
    <w:p w14:paraId="3E20C224" w14:textId="77777777" w:rsidR="00791C50" w:rsidRPr="00441605" w:rsidRDefault="00791C50" w:rsidP="00791C50">
      <w:pPr>
        <w:spacing w:after="120" w:line="240" w:lineRule="auto"/>
        <w:jc w:val="lowKashida"/>
      </w:pPr>
    </w:p>
    <w:p w14:paraId="09C4BF37" w14:textId="77777777" w:rsidR="00F47B1E" w:rsidRPr="003B2862" w:rsidRDefault="003B2862" w:rsidP="00791C50">
      <w:pPr>
        <w:pStyle w:val="Heading1"/>
        <w:ind w:left="431" w:hanging="431"/>
        <w:jc w:val="lowKashida"/>
        <w:rPr>
          <w:color w:val="3B6B27"/>
          <w:sz w:val="24"/>
          <w:szCs w:val="24"/>
        </w:rPr>
      </w:pPr>
      <w:r w:rsidRPr="003B2862">
        <w:rPr>
          <w:color w:val="3B6B27"/>
          <w:sz w:val="24"/>
          <w:szCs w:val="24"/>
        </w:rPr>
        <w:t>The Population Table: Needs and Targeting</w:t>
      </w:r>
    </w:p>
    <w:p w14:paraId="5BE8562E" w14:textId="77777777" w:rsidR="00CA5C31" w:rsidRDefault="00CA5C31" w:rsidP="00791C50">
      <w:pPr>
        <w:spacing w:after="120" w:line="240" w:lineRule="auto"/>
        <w:jc w:val="lowKashida"/>
      </w:pPr>
      <w:r>
        <w:t xml:space="preserve">Provides guidance on how to define the different Populations in Need (PIN) and </w:t>
      </w:r>
      <w:r w:rsidRPr="00251DA9">
        <w:t>the targeted population</w:t>
      </w:r>
      <w:r>
        <w:t>s</w:t>
      </w:r>
      <w:r w:rsidRPr="00251DA9">
        <w:t xml:space="preserve">, </w:t>
      </w:r>
      <w:r>
        <w:t>which need to be recorded at country and sector level in the Country Chapter Format, as well guidance on targeting institutions for resilience-building activities.</w:t>
      </w:r>
    </w:p>
    <w:p w14:paraId="7B3EFB33" w14:textId="77777777" w:rsidR="00791C50" w:rsidRPr="00441605" w:rsidRDefault="00791C50" w:rsidP="00791C50">
      <w:pPr>
        <w:spacing w:after="120" w:line="240" w:lineRule="auto"/>
        <w:jc w:val="lowKashida"/>
      </w:pPr>
    </w:p>
    <w:p w14:paraId="3A37C139" w14:textId="77777777" w:rsidR="00147413" w:rsidRPr="003B2862" w:rsidRDefault="003B2862" w:rsidP="00791C50">
      <w:pPr>
        <w:pStyle w:val="Heading1"/>
        <w:ind w:left="431" w:hanging="431"/>
        <w:jc w:val="lowKashida"/>
        <w:rPr>
          <w:color w:val="3B6B27"/>
          <w:sz w:val="24"/>
          <w:szCs w:val="24"/>
        </w:rPr>
      </w:pPr>
      <w:r w:rsidRPr="003B2862">
        <w:rPr>
          <w:color w:val="3B6B27"/>
          <w:sz w:val="24"/>
          <w:szCs w:val="24"/>
        </w:rPr>
        <w:t>Setting Objectives, Outputs and Indicators at the Sector Level</w:t>
      </w:r>
    </w:p>
    <w:p w14:paraId="07FC7E8D" w14:textId="77777777" w:rsidR="00B14CD3" w:rsidRDefault="00CA5C31" w:rsidP="005E25B3">
      <w:pPr>
        <w:spacing w:after="120"/>
        <w:jc w:val="lowKashida"/>
      </w:pPr>
      <w:r>
        <w:t xml:space="preserve">This guidance note provides information on </w:t>
      </w:r>
      <w:r w:rsidR="00791C50">
        <w:t xml:space="preserve">setting objectives and outputs and their associated indicators, as well as a reference sheet on </w:t>
      </w:r>
      <w:r>
        <w:t>results-based language</w:t>
      </w:r>
      <w:r w:rsidR="00791C50">
        <w:t>.</w:t>
      </w:r>
      <w:r>
        <w:t xml:space="preserve"> </w:t>
      </w:r>
    </w:p>
    <w:p w14:paraId="7C8FAEB3" w14:textId="77777777" w:rsidR="00791C50" w:rsidRDefault="00791C50" w:rsidP="005E25B3">
      <w:pPr>
        <w:spacing w:after="120"/>
        <w:jc w:val="lowKashida"/>
      </w:pPr>
    </w:p>
    <w:p w14:paraId="2F2E142C" w14:textId="77777777" w:rsidR="003B2862" w:rsidRPr="003B2862" w:rsidRDefault="003B2862" w:rsidP="00791C50">
      <w:pPr>
        <w:pStyle w:val="Heading1"/>
        <w:ind w:left="431" w:hanging="431"/>
        <w:jc w:val="lowKashida"/>
        <w:rPr>
          <w:color w:val="3B6B27"/>
          <w:sz w:val="24"/>
          <w:szCs w:val="24"/>
        </w:rPr>
      </w:pPr>
      <w:r w:rsidRPr="003B2862">
        <w:rPr>
          <w:color w:val="3B6B27"/>
          <w:sz w:val="24"/>
          <w:szCs w:val="24"/>
        </w:rPr>
        <w:t>Budgeting</w:t>
      </w:r>
    </w:p>
    <w:p w14:paraId="15C89B4D" w14:textId="77777777" w:rsidR="003B2862" w:rsidRDefault="00CA5C31" w:rsidP="005E25B3">
      <w:pPr>
        <w:spacing w:after="120"/>
        <w:jc w:val="lowKashida"/>
      </w:pPr>
      <w:r w:rsidRPr="00604084">
        <w:t xml:space="preserve">Guidance to assist with the development of a credible and realistic overall appeal in </w:t>
      </w:r>
      <w:r w:rsidR="005E25B3" w:rsidRPr="00604084">
        <w:t>201</w:t>
      </w:r>
      <w:r w:rsidR="005E25B3">
        <w:t>7-18</w:t>
      </w:r>
      <w:r w:rsidRPr="00604084">
        <w:t xml:space="preserve">, </w:t>
      </w:r>
      <w:r w:rsidR="00791C50">
        <w:t>including guidance for agencies, sector and intersector coordinators, and country and regional participants.</w:t>
      </w:r>
    </w:p>
    <w:p w14:paraId="4BFA9F1B" w14:textId="77777777" w:rsidR="00791C50" w:rsidRDefault="00791C50" w:rsidP="005E25B3">
      <w:pPr>
        <w:spacing w:after="120"/>
        <w:jc w:val="lowKashida"/>
      </w:pPr>
    </w:p>
    <w:p w14:paraId="68B6A93F" w14:textId="77777777" w:rsidR="003B2862" w:rsidRPr="003B2862" w:rsidRDefault="003B2862" w:rsidP="00791C50">
      <w:pPr>
        <w:pStyle w:val="Heading1"/>
        <w:ind w:left="431" w:hanging="431"/>
        <w:jc w:val="lowKashida"/>
        <w:rPr>
          <w:color w:val="3B6B27"/>
          <w:sz w:val="24"/>
          <w:szCs w:val="24"/>
        </w:rPr>
      </w:pPr>
      <w:r w:rsidRPr="003B2862">
        <w:rPr>
          <w:color w:val="3B6B27"/>
          <w:sz w:val="24"/>
          <w:szCs w:val="24"/>
        </w:rPr>
        <w:t>Protection Mainstreaming</w:t>
      </w:r>
    </w:p>
    <w:p w14:paraId="4287B8F1" w14:textId="77777777" w:rsidR="003B2862" w:rsidRDefault="00CA5C31" w:rsidP="005E25B3">
      <w:pPr>
        <w:spacing w:after="120"/>
        <w:jc w:val="lowKashida"/>
      </w:pPr>
      <w:r>
        <w:t xml:space="preserve">Guidance to assist Sectors </w:t>
      </w:r>
      <w:r w:rsidRPr="00C348D2">
        <w:t>to incorporate the key protection principles throughout the programme cycle</w:t>
      </w:r>
      <w:r>
        <w:t xml:space="preserve">, including </w:t>
      </w:r>
      <w:r w:rsidRPr="00C348D2">
        <w:t>assessment, design, implementation, monitoring and evaluation</w:t>
      </w:r>
      <w:r w:rsidR="0067269C" w:rsidRPr="0067269C">
        <w:t>.</w:t>
      </w:r>
    </w:p>
    <w:p w14:paraId="6BCED455" w14:textId="77777777" w:rsidR="003B2862" w:rsidRPr="003B2862" w:rsidRDefault="003B2862" w:rsidP="00791C50">
      <w:pPr>
        <w:pStyle w:val="Heading1"/>
        <w:ind w:left="431" w:hanging="431"/>
        <w:jc w:val="lowKashida"/>
        <w:rPr>
          <w:color w:val="3B6B27"/>
          <w:sz w:val="24"/>
          <w:szCs w:val="24"/>
        </w:rPr>
      </w:pPr>
      <w:r w:rsidRPr="003B2862">
        <w:rPr>
          <w:color w:val="3B6B27"/>
          <w:sz w:val="24"/>
          <w:szCs w:val="24"/>
        </w:rPr>
        <w:lastRenderedPageBreak/>
        <w:t>Gender Marker</w:t>
      </w:r>
    </w:p>
    <w:p w14:paraId="78B4B876" w14:textId="77777777" w:rsidR="003B2862" w:rsidRDefault="00CA5C31" w:rsidP="005E25B3">
      <w:pPr>
        <w:spacing w:after="120"/>
        <w:jc w:val="lowKashida"/>
      </w:pPr>
      <w:r>
        <w:t xml:space="preserve">Each Sector Response will have a Gender Marker code recorded </w:t>
      </w:r>
      <w:r w:rsidR="00BA4707">
        <w:t>and published.</w:t>
      </w:r>
      <w:r>
        <w:t xml:space="preserve"> This guidance note will help to ensure that gender codes are accurate, and that they are used as a tool to ensure Plans are well designed to address the needs and realities of women/girls and men/boys.</w:t>
      </w:r>
    </w:p>
    <w:p w14:paraId="4815832C" w14:textId="77777777" w:rsidR="00BA4707" w:rsidRDefault="00BA4707" w:rsidP="005E25B3">
      <w:pPr>
        <w:spacing w:after="120"/>
        <w:jc w:val="lowKashida"/>
      </w:pPr>
    </w:p>
    <w:p w14:paraId="7C561602" w14:textId="77777777" w:rsidR="003B2862" w:rsidRPr="003B2862" w:rsidRDefault="003B2862" w:rsidP="00791C50">
      <w:pPr>
        <w:pStyle w:val="Heading1"/>
        <w:ind w:left="431" w:hanging="431"/>
        <w:jc w:val="lowKashida"/>
        <w:rPr>
          <w:color w:val="3B6B27"/>
          <w:sz w:val="24"/>
          <w:szCs w:val="24"/>
        </w:rPr>
      </w:pPr>
      <w:r w:rsidRPr="003B2862">
        <w:rPr>
          <w:color w:val="3B6B27"/>
          <w:sz w:val="24"/>
          <w:szCs w:val="24"/>
        </w:rPr>
        <w:t>Addressing Gender-Based Violence</w:t>
      </w:r>
      <w:r w:rsidR="005E25B3">
        <w:rPr>
          <w:color w:val="3B6B27"/>
          <w:sz w:val="24"/>
          <w:szCs w:val="24"/>
        </w:rPr>
        <w:t xml:space="preserve"> </w:t>
      </w:r>
      <w:r w:rsidR="00BA4707">
        <w:rPr>
          <w:color w:val="3B6B27"/>
          <w:sz w:val="24"/>
          <w:szCs w:val="24"/>
        </w:rPr>
        <w:t>and Protection from Sexual Exploitation and Abuse</w:t>
      </w:r>
    </w:p>
    <w:p w14:paraId="0D974191" w14:textId="77777777" w:rsidR="003B2862" w:rsidRDefault="000B7CA9" w:rsidP="000B7CA9">
      <w:pPr>
        <w:spacing w:after="120"/>
        <w:jc w:val="lowKashida"/>
      </w:pPr>
      <w:r>
        <w:t>Guidance on a</w:t>
      </w:r>
      <w:r w:rsidRPr="000C5C25">
        <w:rPr>
          <w:rFonts w:cs="Calibri"/>
        </w:rPr>
        <w:t>ware</w:t>
      </w:r>
      <w:r>
        <w:rPr>
          <w:rFonts w:cs="Calibri"/>
        </w:rPr>
        <w:t>ness</w:t>
      </w:r>
      <w:r w:rsidRPr="000C5C25">
        <w:rPr>
          <w:rFonts w:cs="Calibri"/>
        </w:rPr>
        <w:t xml:space="preserve"> of the causes and consequences of GBV and prioritiz</w:t>
      </w:r>
      <w:r>
        <w:rPr>
          <w:rFonts w:cs="Calibri"/>
        </w:rPr>
        <w:t>ation of</w:t>
      </w:r>
      <w:r w:rsidRPr="000C5C25">
        <w:rPr>
          <w:rFonts w:cs="Calibri"/>
        </w:rPr>
        <w:t xml:space="preserve"> interventions to prevent and mitigate risks</w:t>
      </w:r>
      <w:r w:rsidR="000F5963" w:rsidRPr="000F5963">
        <w:t>.</w:t>
      </w:r>
    </w:p>
    <w:p w14:paraId="7EBB0E72" w14:textId="77777777" w:rsidR="00BA4707" w:rsidRDefault="00BA4707" w:rsidP="000B7CA9">
      <w:pPr>
        <w:spacing w:after="120"/>
        <w:jc w:val="lowKashida"/>
      </w:pPr>
    </w:p>
    <w:p w14:paraId="69262326" w14:textId="77777777" w:rsidR="003B2862" w:rsidRPr="003B2862" w:rsidRDefault="003B2862" w:rsidP="00791C50">
      <w:pPr>
        <w:pStyle w:val="Heading1"/>
        <w:ind w:left="431" w:hanging="431"/>
        <w:jc w:val="lowKashida"/>
        <w:rPr>
          <w:color w:val="3B6B27"/>
          <w:sz w:val="24"/>
          <w:szCs w:val="24"/>
        </w:rPr>
      </w:pPr>
      <w:r w:rsidRPr="003B2862">
        <w:rPr>
          <w:color w:val="3B6B27"/>
          <w:sz w:val="24"/>
          <w:szCs w:val="24"/>
        </w:rPr>
        <w:t>Adolescents and Youth Programming</w:t>
      </w:r>
    </w:p>
    <w:p w14:paraId="771F4CD5" w14:textId="77777777" w:rsidR="003B2862" w:rsidRDefault="000B7CA9" w:rsidP="00D04DED">
      <w:pPr>
        <w:spacing w:after="120"/>
        <w:jc w:val="lowKashida"/>
      </w:pPr>
      <w:r>
        <w:t xml:space="preserve">Guidance </w:t>
      </w:r>
      <w:r w:rsidRPr="00D61449">
        <w:t>to ensure that the needs of adolescents and youth</w:t>
      </w:r>
      <w:r w:rsidR="00BA4707">
        <w:t xml:space="preserve">, and the programmatic responses across the region, </w:t>
      </w:r>
      <w:r w:rsidRPr="00D61449">
        <w:t xml:space="preserve">are </w:t>
      </w:r>
      <w:r w:rsidR="00BA4707">
        <w:t>given greater visibility and coherence in the 3RP</w:t>
      </w:r>
      <w:r w:rsidR="00010092">
        <w:t>.</w:t>
      </w:r>
    </w:p>
    <w:p w14:paraId="06D37407" w14:textId="77777777" w:rsidR="00BA4707" w:rsidRDefault="00BA4707" w:rsidP="00D04DED">
      <w:pPr>
        <w:spacing w:after="120"/>
        <w:jc w:val="lowKashida"/>
      </w:pPr>
    </w:p>
    <w:p w14:paraId="7916F2B4" w14:textId="77777777" w:rsidR="003B2862" w:rsidRPr="003B2862" w:rsidRDefault="003B2862" w:rsidP="00791C50">
      <w:pPr>
        <w:pStyle w:val="Heading1"/>
        <w:ind w:left="431" w:hanging="431"/>
        <w:jc w:val="lowKashida"/>
        <w:rPr>
          <w:color w:val="3B6B27"/>
          <w:sz w:val="24"/>
          <w:szCs w:val="24"/>
        </w:rPr>
      </w:pPr>
      <w:r w:rsidRPr="003B2862">
        <w:rPr>
          <w:color w:val="3B6B27"/>
          <w:sz w:val="24"/>
          <w:szCs w:val="24"/>
        </w:rPr>
        <w:t>No Lost Generation 2017-18</w:t>
      </w:r>
    </w:p>
    <w:p w14:paraId="0069CC25" w14:textId="77777777" w:rsidR="003B2862" w:rsidRDefault="00BA4707" w:rsidP="005E25B3">
      <w:pPr>
        <w:spacing w:after="120"/>
        <w:jc w:val="lowKashida"/>
      </w:pPr>
      <w:r>
        <w:t>Guidance to assist i</w:t>
      </w:r>
      <w:r w:rsidR="00D04DED">
        <w:t>n</w:t>
      </w:r>
      <w:r>
        <w:t xml:space="preserve"> identifying </w:t>
      </w:r>
      <w:r w:rsidR="00D04DED">
        <w:t>NLG programming within the 3RP</w:t>
      </w:r>
      <w:r w:rsidR="00F477F1">
        <w:t>, not only in the education and child protection sub/sectors but also activities targeted at children, adolescents or youth in other sectors.</w:t>
      </w:r>
    </w:p>
    <w:p w14:paraId="75C95884" w14:textId="77777777" w:rsidR="00BA4707" w:rsidRDefault="00BA4707" w:rsidP="005E25B3">
      <w:pPr>
        <w:spacing w:after="120"/>
        <w:jc w:val="lowKashida"/>
      </w:pPr>
    </w:p>
    <w:p w14:paraId="4855BF2F" w14:textId="77777777" w:rsidR="003B2862" w:rsidRPr="003B2862" w:rsidRDefault="003B2862" w:rsidP="00791C50">
      <w:pPr>
        <w:pStyle w:val="Heading1"/>
        <w:ind w:left="431" w:hanging="431"/>
        <w:jc w:val="lowKashida"/>
        <w:rPr>
          <w:color w:val="3B6B27"/>
          <w:sz w:val="24"/>
          <w:szCs w:val="24"/>
        </w:rPr>
      </w:pPr>
      <w:r w:rsidRPr="003B2862">
        <w:rPr>
          <w:color w:val="3B6B27"/>
          <w:sz w:val="24"/>
          <w:szCs w:val="24"/>
        </w:rPr>
        <w:t>Terminology</w:t>
      </w:r>
      <w:r w:rsidR="00BA4707">
        <w:rPr>
          <w:color w:val="3B6B27"/>
          <w:sz w:val="24"/>
          <w:szCs w:val="24"/>
        </w:rPr>
        <w:t>, Style and Partner List</w:t>
      </w:r>
    </w:p>
    <w:p w14:paraId="1C944046" w14:textId="77777777" w:rsidR="003B2862" w:rsidRDefault="00CA5C31" w:rsidP="00791C50">
      <w:pPr>
        <w:spacing w:after="120" w:line="240" w:lineRule="auto"/>
        <w:jc w:val="lowKashida"/>
      </w:pPr>
      <w:r>
        <w:t xml:space="preserve">Tips on </w:t>
      </w:r>
      <w:r w:rsidR="00BA4707">
        <w:t xml:space="preserve">terminology and </w:t>
      </w:r>
      <w:r>
        <w:t>style</w:t>
      </w:r>
      <w:r w:rsidR="00BA4707">
        <w:t xml:space="preserve"> to</w:t>
      </w:r>
      <w:r>
        <w:t xml:space="preserve"> assist in the presentational </w:t>
      </w:r>
      <w:r w:rsidR="00BA4707">
        <w:t>coherence of the Plan documents across the region, as well as a list of current 3RP partners and their acronyms.</w:t>
      </w:r>
    </w:p>
    <w:p w14:paraId="7E727ADE" w14:textId="77777777" w:rsidR="00BA4707" w:rsidRDefault="00BA4707" w:rsidP="00791C50">
      <w:pPr>
        <w:spacing w:after="120" w:line="240" w:lineRule="auto"/>
        <w:jc w:val="lowKashida"/>
      </w:pPr>
    </w:p>
    <w:p w14:paraId="08E094C2" w14:textId="77777777" w:rsidR="003B2862" w:rsidRDefault="003B2862" w:rsidP="00791C50">
      <w:pPr>
        <w:pStyle w:val="Heading1"/>
        <w:ind w:left="431" w:hanging="431"/>
        <w:jc w:val="lowKashida"/>
        <w:rPr>
          <w:color w:val="3B6B27"/>
          <w:sz w:val="24"/>
          <w:szCs w:val="24"/>
        </w:rPr>
      </w:pPr>
      <w:r>
        <w:rPr>
          <w:color w:val="3B6B27"/>
          <w:sz w:val="24"/>
          <w:szCs w:val="24"/>
        </w:rPr>
        <w:t xml:space="preserve">Template </w:t>
      </w:r>
      <w:proofErr w:type="gramStart"/>
      <w:r>
        <w:rPr>
          <w:color w:val="3B6B27"/>
          <w:sz w:val="24"/>
          <w:szCs w:val="24"/>
        </w:rPr>
        <w:t>A</w:t>
      </w:r>
      <w:proofErr w:type="gramEnd"/>
      <w:r>
        <w:rPr>
          <w:color w:val="3B6B27"/>
          <w:sz w:val="24"/>
          <w:szCs w:val="24"/>
        </w:rPr>
        <w:t xml:space="preserve"> </w:t>
      </w:r>
      <w:r w:rsidR="000F5963">
        <w:rPr>
          <w:color w:val="3B6B27"/>
          <w:sz w:val="24"/>
          <w:szCs w:val="24"/>
        </w:rPr>
        <w:t xml:space="preserve">- </w:t>
      </w:r>
      <w:r w:rsidRPr="003B2862">
        <w:rPr>
          <w:color w:val="3B6B27"/>
          <w:sz w:val="24"/>
          <w:szCs w:val="24"/>
        </w:rPr>
        <w:t>Country and Sector Narrative Templates</w:t>
      </w:r>
    </w:p>
    <w:p w14:paraId="2AB77E91" w14:textId="77777777" w:rsidR="00677682" w:rsidRDefault="00CA5C31" w:rsidP="00791C50">
      <w:pPr>
        <w:jc w:val="lowKashida"/>
      </w:pPr>
      <w:r>
        <w:t>This is the format/template for the submission of the country and sector-level narratives which go to make up the Country Chapter of the 3RP. It outlines the narrative sections to be included at each level, along with guidance on word limits, and content. It contains references to the other Guidance Notes to assist in filling out specific sections.</w:t>
      </w:r>
      <w:r w:rsidR="00BA4707">
        <w:t xml:space="preserve"> </w:t>
      </w:r>
    </w:p>
    <w:p w14:paraId="5C7F3AF8" w14:textId="77777777" w:rsidR="00BA4707" w:rsidRPr="00677682" w:rsidRDefault="00BA4707" w:rsidP="00791C50">
      <w:pPr>
        <w:jc w:val="lowKashida"/>
      </w:pPr>
    </w:p>
    <w:p w14:paraId="18062213" w14:textId="77777777" w:rsidR="003B2862" w:rsidRDefault="003B2862" w:rsidP="00791C50">
      <w:pPr>
        <w:pStyle w:val="Heading1"/>
        <w:ind w:left="431" w:hanging="431"/>
        <w:jc w:val="lowKashida"/>
        <w:rPr>
          <w:color w:val="3B6B27"/>
          <w:sz w:val="24"/>
          <w:szCs w:val="24"/>
        </w:rPr>
      </w:pPr>
      <w:r>
        <w:rPr>
          <w:color w:val="3B6B27"/>
          <w:sz w:val="24"/>
          <w:szCs w:val="24"/>
        </w:rPr>
        <w:t xml:space="preserve">Template B </w:t>
      </w:r>
      <w:r w:rsidR="000F5963">
        <w:rPr>
          <w:color w:val="3B6B27"/>
          <w:sz w:val="24"/>
          <w:szCs w:val="24"/>
        </w:rPr>
        <w:t xml:space="preserve">- </w:t>
      </w:r>
      <w:r w:rsidRPr="003B2862">
        <w:rPr>
          <w:color w:val="3B6B27"/>
          <w:sz w:val="24"/>
          <w:szCs w:val="24"/>
        </w:rPr>
        <w:t>Sector and Agency Response Matrices</w:t>
      </w:r>
    </w:p>
    <w:p w14:paraId="3E55EE8C" w14:textId="77777777" w:rsidR="00CA5C31" w:rsidRDefault="00CA5C31" w:rsidP="00791C50">
      <w:pPr>
        <w:spacing w:after="120" w:line="240" w:lineRule="auto"/>
        <w:jc w:val="lowKashida"/>
      </w:pPr>
      <w:r>
        <w:t>Each Sector Working Group should complete and return one Sector Response</w:t>
      </w:r>
      <w:r w:rsidR="00BA4707">
        <w:t xml:space="preserve"> Matrix to their intersector-coordinators. The Matrix includes </w:t>
      </w:r>
      <w:r>
        <w:t>cells for entering Objectives, Outputs, Targeted Population, Partners, Location, Budget, and Indicator/Targets. A second Matrix (Agency Response) is included to assist Sector Coordinators to assist in the collection of agency level submissions in those countries which do not use an automated system (</w:t>
      </w:r>
      <w:proofErr w:type="spellStart"/>
      <w:r>
        <w:t>ie</w:t>
      </w:r>
      <w:proofErr w:type="spellEnd"/>
      <w:r>
        <w:t xml:space="preserve">: </w:t>
      </w:r>
      <w:proofErr w:type="spellStart"/>
      <w:r>
        <w:t>ActivityInfo</w:t>
      </w:r>
      <w:proofErr w:type="spellEnd"/>
      <w:r>
        <w:t xml:space="preserve">). </w:t>
      </w:r>
    </w:p>
    <w:p w14:paraId="01AD3AD1" w14:textId="77777777" w:rsidR="00BA4707" w:rsidRPr="00441605" w:rsidRDefault="00BA4707" w:rsidP="00791C50">
      <w:pPr>
        <w:spacing w:after="120" w:line="240" w:lineRule="auto"/>
        <w:jc w:val="lowKashida"/>
      </w:pPr>
    </w:p>
    <w:p w14:paraId="6DB6221D" w14:textId="77777777" w:rsidR="003B2862" w:rsidRPr="003B2862" w:rsidRDefault="003B2862" w:rsidP="00791C50">
      <w:pPr>
        <w:pStyle w:val="Heading1"/>
        <w:ind w:left="431" w:hanging="431"/>
        <w:jc w:val="lowKashida"/>
        <w:rPr>
          <w:color w:val="3B6B27"/>
          <w:sz w:val="24"/>
          <w:szCs w:val="24"/>
        </w:rPr>
      </w:pPr>
      <w:r>
        <w:rPr>
          <w:color w:val="3B6B27"/>
          <w:sz w:val="24"/>
          <w:szCs w:val="24"/>
        </w:rPr>
        <w:t>Template C</w:t>
      </w:r>
      <w:r w:rsidR="000F5963">
        <w:rPr>
          <w:color w:val="3B6B27"/>
          <w:sz w:val="24"/>
          <w:szCs w:val="24"/>
        </w:rPr>
        <w:t xml:space="preserve"> -</w:t>
      </w:r>
      <w:r>
        <w:rPr>
          <w:color w:val="3B6B27"/>
          <w:sz w:val="24"/>
          <w:szCs w:val="24"/>
        </w:rPr>
        <w:t xml:space="preserve"> </w:t>
      </w:r>
      <w:r w:rsidRPr="003B2862">
        <w:rPr>
          <w:color w:val="3B6B27"/>
          <w:sz w:val="24"/>
          <w:szCs w:val="24"/>
        </w:rPr>
        <w:t>Country Budget Requirements</w:t>
      </w:r>
    </w:p>
    <w:p w14:paraId="7F47A998" w14:textId="77777777" w:rsidR="00677682" w:rsidRDefault="00D04DED" w:rsidP="00D04DED">
      <w:pPr>
        <w:spacing w:after="120"/>
        <w:jc w:val="lowKashida"/>
      </w:pPr>
      <w:r>
        <w:t xml:space="preserve">This template allows </w:t>
      </w:r>
      <w:r w:rsidR="00BA4707">
        <w:t xml:space="preserve">intersector coordinators </w:t>
      </w:r>
      <w:r>
        <w:t>to summarize the list of Appealing Agencies in the country with the respective funding requirements with a component and year breakdown</w:t>
      </w:r>
      <w:r w:rsidR="005E25B3" w:rsidRPr="000F5963">
        <w:t>.</w:t>
      </w:r>
      <w:r>
        <w:t xml:space="preserve"> A second table allows </w:t>
      </w:r>
      <w:r w:rsidR="006722A5">
        <w:t>to summarize the Sector budgets, also with a component and year breakdown.</w:t>
      </w:r>
    </w:p>
    <w:sectPr w:rsidR="00677682" w:rsidSect="00CA5C31">
      <w:headerReference w:type="default" r:id="rId8"/>
      <w:pgSz w:w="12240" w:h="15840"/>
      <w:pgMar w:top="1276" w:right="1260" w:bottom="567" w:left="1440" w:header="720" w:footer="27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C1C21F" w14:textId="77777777" w:rsidR="00BF1A93" w:rsidRDefault="00BF1A93" w:rsidP="00BF4FE4">
      <w:pPr>
        <w:spacing w:after="0" w:line="240" w:lineRule="auto"/>
      </w:pPr>
      <w:r>
        <w:separator/>
      </w:r>
    </w:p>
    <w:p w14:paraId="4140EED6" w14:textId="77777777" w:rsidR="00BF1A93" w:rsidRDefault="00BF1A93"/>
  </w:endnote>
  <w:endnote w:type="continuationSeparator" w:id="0">
    <w:p w14:paraId="6277A944" w14:textId="77777777" w:rsidR="00BF1A93" w:rsidRDefault="00BF1A93" w:rsidP="00BF4FE4">
      <w:pPr>
        <w:spacing w:after="0" w:line="240" w:lineRule="auto"/>
      </w:pPr>
      <w:r>
        <w:continuationSeparator/>
      </w:r>
    </w:p>
    <w:p w14:paraId="23A57D55" w14:textId="77777777" w:rsidR="00BF1A93" w:rsidRDefault="00BF1A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Optima LT Std">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Optima LT Std Demi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964ECF" w14:textId="77777777" w:rsidR="00BF1A93" w:rsidRDefault="00BF1A93" w:rsidP="00BF4FE4">
      <w:pPr>
        <w:spacing w:after="0" w:line="240" w:lineRule="auto"/>
      </w:pPr>
      <w:r>
        <w:separator/>
      </w:r>
    </w:p>
    <w:p w14:paraId="1D5A21EF" w14:textId="77777777" w:rsidR="00BF1A93" w:rsidRDefault="00BF1A93"/>
  </w:footnote>
  <w:footnote w:type="continuationSeparator" w:id="0">
    <w:p w14:paraId="6723199B" w14:textId="77777777" w:rsidR="00BF1A93" w:rsidRDefault="00BF1A93" w:rsidP="00BF4FE4">
      <w:pPr>
        <w:spacing w:after="0" w:line="240" w:lineRule="auto"/>
      </w:pPr>
      <w:r>
        <w:continuationSeparator/>
      </w:r>
    </w:p>
    <w:p w14:paraId="489A3117" w14:textId="77777777" w:rsidR="00BF1A93" w:rsidRDefault="00BF1A9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ED3DD" w14:textId="2929CDC7" w:rsidR="0053200B" w:rsidRDefault="005320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576AB"/>
    <w:multiLevelType w:val="hybridMultilevel"/>
    <w:tmpl w:val="A5C6131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9256E9"/>
    <w:multiLevelType w:val="hybridMultilevel"/>
    <w:tmpl w:val="CA48E6A4"/>
    <w:lvl w:ilvl="0" w:tplc="08090001">
      <w:start w:val="1"/>
      <w:numFmt w:val="bullet"/>
      <w:lvlText w:val=""/>
      <w:lvlJc w:val="left"/>
      <w:pPr>
        <w:ind w:left="578" w:hanging="360"/>
      </w:pPr>
      <w:rPr>
        <w:rFonts w:ascii="Symbol" w:hAnsi="Symbol" w:hint="default"/>
      </w:rPr>
    </w:lvl>
    <w:lvl w:ilvl="1" w:tplc="08090003" w:tentative="1">
      <w:start w:val="1"/>
      <w:numFmt w:val="bullet"/>
      <w:lvlText w:val="o"/>
      <w:lvlJc w:val="left"/>
      <w:pPr>
        <w:ind w:left="1298" w:hanging="360"/>
      </w:pPr>
      <w:rPr>
        <w:rFonts w:ascii="Courier New" w:hAnsi="Courier New" w:cs="Courier New" w:hint="default"/>
      </w:rPr>
    </w:lvl>
    <w:lvl w:ilvl="2" w:tplc="08090005" w:tentative="1">
      <w:start w:val="1"/>
      <w:numFmt w:val="bullet"/>
      <w:lvlText w:val=""/>
      <w:lvlJc w:val="left"/>
      <w:pPr>
        <w:ind w:left="2018" w:hanging="360"/>
      </w:pPr>
      <w:rPr>
        <w:rFonts w:ascii="Wingdings" w:hAnsi="Wingdings" w:hint="default"/>
      </w:rPr>
    </w:lvl>
    <w:lvl w:ilvl="3" w:tplc="08090001">
      <w:start w:val="1"/>
      <w:numFmt w:val="bullet"/>
      <w:lvlText w:val=""/>
      <w:lvlJc w:val="left"/>
      <w:pPr>
        <w:ind w:left="2738" w:hanging="360"/>
      </w:pPr>
      <w:rPr>
        <w:rFonts w:ascii="Symbol" w:hAnsi="Symbol" w:hint="default"/>
      </w:rPr>
    </w:lvl>
    <w:lvl w:ilvl="4" w:tplc="08090003" w:tentative="1">
      <w:start w:val="1"/>
      <w:numFmt w:val="bullet"/>
      <w:lvlText w:val="o"/>
      <w:lvlJc w:val="left"/>
      <w:pPr>
        <w:ind w:left="3458" w:hanging="360"/>
      </w:pPr>
      <w:rPr>
        <w:rFonts w:ascii="Courier New" w:hAnsi="Courier New" w:cs="Courier New" w:hint="default"/>
      </w:rPr>
    </w:lvl>
    <w:lvl w:ilvl="5" w:tplc="08090005" w:tentative="1">
      <w:start w:val="1"/>
      <w:numFmt w:val="bullet"/>
      <w:lvlText w:val=""/>
      <w:lvlJc w:val="left"/>
      <w:pPr>
        <w:ind w:left="4178" w:hanging="360"/>
      </w:pPr>
      <w:rPr>
        <w:rFonts w:ascii="Wingdings" w:hAnsi="Wingdings" w:hint="default"/>
      </w:rPr>
    </w:lvl>
    <w:lvl w:ilvl="6" w:tplc="08090001" w:tentative="1">
      <w:start w:val="1"/>
      <w:numFmt w:val="bullet"/>
      <w:lvlText w:val=""/>
      <w:lvlJc w:val="left"/>
      <w:pPr>
        <w:ind w:left="4898" w:hanging="360"/>
      </w:pPr>
      <w:rPr>
        <w:rFonts w:ascii="Symbol" w:hAnsi="Symbol" w:hint="default"/>
      </w:rPr>
    </w:lvl>
    <w:lvl w:ilvl="7" w:tplc="08090003" w:tentative="1">
      <w:start w:val="1"/>
      <w:numFmt w:val="bullet"/>
      <w:lvlText w:val="o"/>
      <w:lvlJc w:val="left"/>
      <w:pPr>
        <w:ind w:left="5618" w:hanging="360"/>
      </w:pPr>
      <w:rPr>
        <w:rFonts w:ascii="Courier New" w:hAnsi="Courier New" w:cs="Courier New" w:hint="default"/>
      </w:rPr>
    </w:lvl>
    <w:lvl w:ilvl="8" w:tplc="08090005" w:tentative="1">
      <w:start w:val="1"/>
      <w:numFmt w:val="bullet"/>
      <w:lvlText w:val=""/>
      <w:lvlJc w:val="left"/>
      <w:pPr>
        <w:ind w:left="6338" w:hanging="360"/>
      </w:pPr>
      <w:rPr>
        <w:rFonts w:ascii="Wingdings" w:hAnsi="Wingdings" w:hint="default"/>
      </w:rPr>
    </w:lvl>
  </w:abstractNum>
  <w:abstractNum w:abstractNumId="2" w15:restartNumberingAfterBreak="0">
    <w:nsid w:val="1CD0062E"/>
    <w:multiLevelType w:val="hybridMultilevel"/>
    <w:tmpl w:val="6108DD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29A2523"/>
    <w:multiLevelType w:val="multilevel"/>
    <w:tmpl w:val="5704BBF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B192295"/>
    <w:multiLevelType w:val="hybridMultilevel"/>
    <w:tmpl w:val="60BA40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DC1A87"/>
    <w:multiLevelType w:val="hybridMultilevel"/>
    <w:tmpl w:val="C2A25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156155"/>
    <w:multiLevelType w:val="hybridMultilevel"/>
    <w:tmpl w:val="A2E0F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4925AB"/>
    <w:multiLevelType w:val="hybridMultilevel"/>
    <w:tmpl w:val="BC5CC562"/>
    <w:lvl w:ilvl="0" w:tplc="7F88089C">
      <w:start w:val="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D700E6"/>
    <w:multiLevelType w:val="hybridMultilevel"/>
    <w:tmpl w:val="CDD4C906"/>
    <w:lvl w:ilvl="0" w:tplc="D5D4D44A">
      <w:start w:val="2016"/>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C2F1756"/>
    <w:multiLevelType w:val="hybridMultilevel"/>
    <w:tmpl w:val="A022A3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7C4D2D"/>
    <w:multiLevelType w:val="hybridMultilevel"/>
    <w:tmpl w:val="0A4EBB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4BB760E"/>
    <w:multiLevelType w:val="hybridMultilevel"/>
    <w:tmpl w:val="E2E86F50"/>
    <w:lvl w:ilvl="0" w:tplc="A9A6BA70">
      <w:start w:val="2"/>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6BF5117"/>
    <w:multiLevelType w:val="hybridMultilevel"/>
    <w:tmpl w:val="5E707F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6EF1073"/>
    <w:multiLevelType w:val="hybridMultilevel"/>
    <w:tmpl w:val="EB4E9870"/>
    <w:lvl w:ilvl="0" w:tplc="EEC8045E">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8B0469E"/>
    <w:multiLevelType w:val="hybridMultilevel"/>
    <w:tmpl w:val="C400AB50"/>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5" w15:restartNumberingAfterBreak="0">
    <w:nsid w:val="4C674B6B"/>
    <w:multiLevelType w:val="hybridMultilevel"/>
    <w:tmpl w:val="3D94C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FB00E6"/>
    <w:multiLevelType w:val="hybridMultilevel"/>
    <w:tmpl w:val="60BEE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E945BA"/>
    <w:multiLevelType w:val="hybridMultilevel"/>
    <w:tmpl w:val="572811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622586"/>
    <w:multiLevelType w:val="hybridMultilevel"/>
    <w:tmpl w:val="B7908DEC"/>
    <w:lvl w:ilvl="0" w:tplc="7F88089C">
      <w:start w:val="20"/>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A032F5"/>
    <w:multiLevelType w:val="hybridMultilevel"/>
    <w:tmpl w:val="51F82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14018D"/>
    <w:multiLevelType w:val="hybridMultilevel"/>
    <w:tmpl w:val="3F5288FE"/>
    <w:lvl w:ilvl="0" w:tplc="0B4CB580">
      <w:start w:val="20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9D68BE"/>
    <w:multiLevelType w:val="hybridMultilevel"/>
    <w:tmpl w:val="FAC4CD08"/>
    <w:lvl w:ilvl="0" w:tplc="73D64456">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2" w15:restartNumberingAfterBreak="0">
    <w:nsid w:val="61D735E0"/>
    <w:multiLevelType w:val="hybridMultilevel"/>
    <w:tmpl w:val="1EB4234E"/>
    <w:lvl w:ilvl="0" w:tplc="BDA2A8A8">
      <w:start w:val="1"/>
      <w:numFmt w:val="bullet"/>
      <w:lvlText w:val=""/>
      <w:lvlJc w:val="left"/>
      <w:pPr>
        <w:ind w:left="720" w:hanging="360"/>
      </w:pPr>
      <w:rPr>
        <w:rFonts w:ascii="Symbol" w:hAnsi="Symbol" w:hint="default"/>
        <w:color w:val="3B6B27"/>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2F60F2"/>
    <w:multiLevelType w:val="hybridMultilevel"/>
    <w:tmpl w:val="CEBC83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68C5465"/>
    <w:multiLevelType w:val="hybridMultilevel"/>
    <w:tmpl w:val="C8109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0B29DB"/>
    <w:multiLevelType w:val="hybridMultilevel"/>
    <w:tmpl w:val="E2E64E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E3A0478"/>
    <w:multiLevelType w:val="hybridMultilevel"/>
    <w:tmpl w:val="2312B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D8539B"/>
    <w:multiLevelType w:val="hybridMultilevel"/>
    <w:tmpl w:val="24DE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FF88BF6">
      <w:numFmt w:val="bullet"/>
      <w:lvlText w:val="•"/>
      <w:lvlJc w:val="left"/>
      <w:pPr>
        <w:ind w:left="2160" w:hanging="360"/>
      </w:pPr>
      <w:rPr>
        <w:rFonts w:ascii="Optima LT Std" w:eastAsiaTheme="minorHAnsi" w:hAnsi="Optima LT Std" w:cs="Optima LT Std"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651DB2"/>
    <w:multiLevelType w:val="hybridMultilevel"/>
    <w:tmpl w:val="57E43586"/>
    <w:lvl w:ilvl="0" w:tplc="81F296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A782014"/>
    <w:multiLevelType w:val="hybridMultilevel"/>
    <w:tmpl w:val="D2EC4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96092D"/>
    <w:multiLevelType w:val="hybridMultilevel"/>
    <w:tmpl w:val="6ADC0D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F663FBE"/>
    <w:multiLevelType w:val="hybridMultilevel"/>
    <w:tmpl w:val="59C8D8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8"/>
  </w:num>
  <w:num w:numId="2">
    <w:abstractNumId w:val="13"/>
  </w:num>
  <w:num w:numId="3">
    <w:abstractNumId w:val="7"/>
  </w:num>
  <w:num w:numId="4">
    <w:abstractNumId w:val="0"/>
  </w:num>
  <w:num w:numId="5">
    <w:abstractNumId w:val="28"/>
  </w:num>
  <w:num w:numId="6">
    <w:abstractNumId w:val="10"/>
  </w:num>
  <w:num w:numId="7">
    <w:abstractNumId w:val="16"/>
  </w:num>
  <w:num w:numId="8">
    <w:abstractNumId w:val="31"/>
  </w:num>
  <w:num w:numId="9">
    <w:abstractNumId w:val="12"/>
  </w:num>
  <w:num w:numId="10">
    <w:abstractNumId w:val="4"/>
  </w:num>
  <w:num w:numId="11">
    <w:abstractNumId w:val="6"/>
  </w:num>
  <w:num w:numId="12">
    <w:abstractNumId w:val="26"/>
  </w:num>
  <w:num w:numId="13">
    <w:abstractNumId w:val="19"/>
  </w:num>
  <w:num w:numId="14">
    <w:abstractNumId w:val="5"/>
  </w:num>
  <w:num w:numId="15">
    <w:abstractNumId w:val="25"/>
  </w:num>
  <w:num w:numId="16">
    <w:abstractNumId w:val="3"/>
  </w:num>
  <w:num w:numId="17">
    <w:abstractNumId w:val="29"/>
  </w:num>
  <w:num w:numId="18">
    <w:abstractNumId w:val="27"/>
  </w:num>
  <w:num w:numId="19">
    <w:abstractNumId w:val="24"/>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2"/>
  </w:num>
  <w:num w:numId="28">
    <w:abstractNumId w:val="15"/>
  </w:num>
  <w:num w:numId="29">
    <w:abstractNumId w:val="8"/>
  </w:num>
  <w:num w:numId="30">
    <w:abstractNumId w:val="20"/>
  </w:num>
  <w:num w:numId="31">
    <w:abstractNumId w:val="30"/>
  </w:num>
  <w:num w:numId="32">
    <w:abstractNumId w:val="23"/>
  </w:num>
  <w:num w:numId="33">
    <w:abstractNumId w:val="22"/>
  </w:num>
  <w:num w:numId="34">
    <w:abstractNumId w:val="17"/>
  </w:num>
  <w:num w:numId="35">
    <w:abstractNumId w:val="30"/>
  </w:num>
  <w:num w:numId="36">
    <w:abstractNumId w:val="11"/>
  </w:num>
  <w:num w:numId="37">
    <w:abstractNumId w:val="11"/>
  </w:num>
  <w:num w:numId="38">
    <w:abstractNumId w:val="14"/>
  </w:num>
  <w:num w:numId="39">
    <w:abstractNumId w:val="21"/>
  </w:num>
  <w:num w:numId="40">
    <w:abstractNumId w:val="1"/>
  </w:num>
  <w:num w:numId="41">
    <w:abstractNumId w:val="3"/>
  </w:num>
  <w:num w:numId="42">
    <w:abstractNumId w:val="3"/>
  </w:num>
  <w:num w:numId="43">
    <w:abstractNumId w:val="3"/>
  </w:num>
  <w:num w:numId="44">
    <w:abstractNumId w:val="3"/>
  </w:num>
  <w:num w:numId="45">
    <w:abstractNumId w:val="3"/>
  </w:num>
  <w:num w:numId="46">
    <w:abstractNumId w:val="3"/>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FE4"/>
    <w:rsid w:val="00000B05"/>
    <w:rsid w:val="00010092"/>
    <w:rsid w:val="00017316"/>
    <w:rsid w:val="00034F3C"/>
    <w:rsid w:val="000600C8"/>
    <w:rsid w:val="0006386C"/>
    <w:rsid w:val="00067B39"/>
    <w:rsid w:val="00071AB6"/>
    <w:rsid w:val="000753AD"/>
    <w:rsid w:val="00095EDC"/>
    <w:rsid w:val="00097A9B"/>
    <w:rsid w:val="000B7CA9"/>
    <w:rsid w:val="000E1DDA"/>
    <w:rsid w:val="000F5963"/>
    <w:rsid w:val="0012594E"/>
    <w:rsid w:val="001302FC"/>
    <w:rsid w:val="00147413"/>
    <w:rsid w:val="00150E5D"/>
    <w:rsid w:val="00150FDE"/>
    <w:rsid w:val="00155C54"/>
    <w:rsid w:val="00166DFB"/>
    <w:rsid w:val="00182069"/>
    <w:rsid w:val="001906A1"/>
    <w:rsid w:val="0019422E"/>
    <w:rsid w:val="001A57A8"/>
    <w:rsid w:val="001D0175"/>
    <w:rsid w:val="00215DAF"/>
    <w:rsid w:val="00220699"/>
    <w:rsid w:val="00233F2E"/>
    <w:rsid w:val="0024564B"/>
    <w:rsid w:val="002721B2"/>
    <w:rsid w:val="00276DAB"/>
    <w:rsid w:val="00290477"/>
    <w:rsid w:val="002A1374"/>
    <w:rsid w:val="002A33CF"/>
    <w:rsid w:val="002B2DE4"/>
    <w:rsid w:val="002B702A"/>
    <w:rsid w:val="002C0A60"/>
    <w:rsid w:val="002C286B"/>
    <w:rsid w:val="002D0C63"/>
    <w:rsid w:val="002D45A1"/>
    <w:rsid w:val="002F1FA5"/>
    <w:rsid w:val="002F2BB9"/>
    <w:rsid w:val="002F69E5"/>
    <w:rsid w:val="00317B6D"/>
    <w:rsid w:val="00332D84"/>
    <w:rsid w:val="003603BB"/>
    <w:rsid w:val="003762F9"/>
    <w:rsid w:val="003B2862"/>
    <w:rsid w:val="003B4E7E"/>
    <w:rsid w:val="003C0985"/>
    <w:rsid w:val="003C2B9D"/>
    <w:rsid w:val="003C379C"/>
    <w:rsid w:val="003C4EF1"/>
    <w:rsid w:val="003C702C"/>
    <w:rsid w:val="003E0E37"/>
    <w:rsid w:val="003F543C"/>
    <w:rsid w:val="00404A77"/>
    <w:rsid w:val="004118DE"/>
    <w:rsid w:val="0041616F"/>
    <w:rsid w:val="004234F2"/>
    <w:rsid w:val="00431150"/>
    <w:rsid w:val="004349E6"/>
    <w:rsid w:val="00443FB2"/>
    <w:rsid w:val="004643E4"/>
    <w:rsid w:val="00475216"/>
    <w:rsid w:val="00495283"/>
    <w:rsid w:val="004B2BE8"/>
    <w:rsid w:val="004C063A"/>
    <w:rsid w:val="004D23AF"/>
    <w:rsid w:val="004D5CA3"/>
    <w:rsid w:val="004F2033"/>
    <w:rsid w:val="00526297"/>
    <w:rsid w:val="0052630C"/>
    <w:rsid w:val="0053200B"/>
    <w:rsid w:val="00566189"/>
    <w:rsid w:val="00577872"/>
    <w:rsid w:val="005A3855"/>
    <w:rsid w:val="005A494C"/>
    <w:rsid w:val="005C6126"/>
    <w:rsid w:val="005E25B3"/>
    <w:rsid w:val="0060553E"/>
    <w:rsid w:val="006116A8"/>
    <w:rsid w:val="006121CD"/>
    <w:rsid w:val="00641F99"/>
    <w:rsid w:val="00663257"/>
    <w:rsid w:val="006722A5"/>
    <w:rsid w:val="0067269C"/>
    <w:rsid w:val="00677128"/>
    <w:rsid w:val="00677682"/>
    <w:rsid w:val="00686B99"/>
    <w:rsid w:val="006938F7"/>
    <w:rsid w:val="006C1DAC"/>
    <w:rsid w:val="006C221A"/>
    <w:rsid w:val="00700283"/>
    <w:rsid w:val="00711FEB"/>
    <w:rsid w:val="00717F00"/>
    <w:rsid w:val="007224C1"/>
    <w:rsid w:val="00741433"/>
    <w:rsid w:val="0075484E"/>
    <w:rsid w:val="00754894"/>
    <w:rsid w:val="00763AC4"/>
    <w:rsid w:val="007721E0"/>
    <w:rsid w:val="00775FCA"/>
    <w:rsid w:val="00782AA3"/>
    <w:rsid w:val="00791C50"/>
    <w:rsid w:val="0079349D"/>
    <w:rsid w:val="007949DC"/>
    <w:rsid w:val="007A7107"/>
    <w:rsid w:val="007C27FC"/>
    <w:rsid w:val="007D6D27"/>
    <w:rsid w:val="007F0B11"/>
    <w:rsid w:val="0080164D"/>
    <w:rsid w:val="008110FE"/>
    <w:rsid w:val="00814ECD"/>
    <w:rsid w:val="00820361"/>
    <w:rsid w:val="00832AD2"/>
    <w:rsid w:val="00857CE5"/>
    <w:rsid w:val="00875716"/>
    <w:rsid w:val="008B2089"/>
    <w:rsid w:val="008D521A"/>
    <w:rsid w:val="008F1E9D"/>
    <w:rsid w:val="008F62E7"/>
    <w:rsid w:val="00904616"/>
    <w:rsid w:val="0091075B"/>
    <w:rsid w:val="00915EA1"/>
    <w:rsid w:val="00933615"/>
    <w:rsid w:val="009845B9"/>
    <w:rsid w:val="009B17CD"/>
    <w:rsid w:val="009C542A"/>
    <w:rsid w:val="009E6D25"/>
    <w:rsid w:val="009F370A"/>
    <w:rsid w:val="00A01A6C"/>
    <w:rsid w:val="00A225E8"/>
    <w:rsid w:val="00A32422"/>
    <w:rsid w:val="00A36975"/>
    <w:rsid w:val="00A734F6"/>
    <w:rsid w:val="00A813E6"/>
    <w:rsid w:val="00A82735"/>
    <w:rsid w:val="00AA1159"/>
    <w:rsid w:val="00AB582D"/>
    <w:rsid w:val="00AB71D3"/>
    <w:rsid w:val="00AC3ECD"/>
    <w:rsid w:val="00AD794B"/>
    <w:rsid w:val="00B075E1"/>
    <w:rsid w:val="00B077C1"/>
    <w:rsid w:val="00B105D2"/>
    <w:rsid w:val="00B14CD3"/>
    <w:rsid w:val="00B34EEA"/>
    <w:rsid w:val="00B461B0"/>
    <w:rsid w:val="00B66758"/>
    <w:rsid w:val="00B7159E"/>
    <w:rsid w:val="00B8429B"/>
    <w:rsid w:val="00B9099E"/>
    <w:rsid w:val="00B95EAA"/>
    <w:rsid w:val="00B964E1"/>
    <w:rsid w:val="00BA4707"/>
    <w:rsid w:val="00BA5AA3"/>
    <w:rsid w:val="00BA5F98"/>
    <w:rsid w:val="00BA7EE0"/>
    <w:rsid w:val="00BB6CA6"/>
    <w:rsid w:val="00BC14F4"/>
    <w:rsid w:val="00BC223C"/>
    <w:rsid w:val="00BD0CEB"/>
    <w:rsid w:val="00BE78E4"/>
    <w:rsid w:val="00BF1A93"/>
    <w:rsid w:val="00BF4FE4"/>
    <w:rsid w:val="00C0571F"/>
    <w:rsid w:val="00C07000"/>
    <w:rsid w:val="00C07F3E"/>
    <w:rsid w:val="00C33355"/>
    <w:rsid w:val="00C44A3F"/>
    <w:rsid w:val="00C82FCE"/>
    <w:rsid w:val="00CA5C31"/>
    <w:rsid w:val="00CA7358"/>
    <w:rsid w:val="00CB0A2F"/>
    <w:rsid w:val="00CC7001"/>
    <w:rsid w:val="00CD4260"/>
    <w:rsid w:val="00CE2F84"/>
    <w:rsid w:val="00D0325E"/>
    <w:rsid w:val="00D04DED"/>
    <w:rsid w:val="00D65A53"/>
    <w:rsid w:val="00D82FC9"/>
    <w:rsid w:val="00DA12A3"/>
    <w:rsid w:val="00DA54D7"/>
    <w:rsid w:val="00DA7E8A"/>
    <w:rsid w:val="00DE4A8F"/>
    <w:rsid w:val="00DE4E72"/>
    <w:rsid w:val="00DF3651"/>
    <w:rsid w:val="00DF39B6"/>
    <w:rsid w:val="00DF548E"/>
    <w:rsid w:val="00E00BBF"/>
    <w:rsid w:val="00E05489"/>
    <w:rsid w:val="00E07796"/>
    <w:rsid w:val="00E112F6"/>
    <w:rsid w:val="00E22F6A"/>
    <w:rsid w:val="00E26F5D"/>
    <w:rsid w:val="00E32C3D"/>
    <w:rsid w:val="00E456B7"/>
    <w:rsid w:val="00E524EA"/>
    <w:rsid w:val="00E56614"/>
    <w:rsid w:val="00E605B8"/>
    <w:rsid w:val="00E80FCD"/>
    <w:rsid w:val="00E846AB"/>
    <w:rsid w:val="00E8750E"/>
    <w:rsid w:val="00EA1395"/>
    <w:rsid w:val="00EA20C3"/>
    <w:rsid w:val="00EA26BE"/>
    <w:rsid w:val="00ED2128"/>
    <w:rsid w:val="00ED6829"/>
    <w:rsid w:val="00EE731E"/>
    <w:rsid w:val="00EE7413"/>
    <w:rsid w:val="00F30BA4"/>
    <w:rsid w:val="00F36127"/>
    <w:rsid w:val="00F37253"/>
    <w:rsid w:val="00F46523"/>
    <w:rsid w:val="00F46CBB"/>
    <w:rsid w:val="00F477F1"/>
    <w:rsid w:val="00F47B1E"/>
    <w:rsid w:val="00F76D1B"/>
    <w:rsid w:val="00F83964"/>
    <w:rsid w:val="00F871BB"/>
    <w:rsid w:val="00FB18E1"/>
    <w:rsid w:val="00FB1DC4"/>
    <w:rsid w:val="00FC3225"/>
    <w:rsid w:val="00FD7B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3DDF47A3"/>
  <w15:docId w15:val="{34ADCED5-4D43-49DE-8E9B-70684A578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B582D"/>
    <w:pPr>
      <w:keepNext/>
      <w:keepLines/>
      <w:numPr>
        <w:numId w:val="16"/>
      </w:numPr>
      <w:spacing w:after="0"/>
      <w:outlineLvl w:val="0"/>
    </w:pPr>
    <w:rPr>
      <w:rFonts w:asciiTheme="majorHAnsi" w:eastAsiaTheme="majorEastAsia" w:hAnsiTheme="majorHAnsi" w:cstheme="majorBidi"/>
      <w:b/>
      <w:color w:val="2E74B5" w:themeColor="accent1" w:themeShade="BF"/>
      <w:sz w:val="32"/>
      <w:szCs w:val="32"/>
    </w:rPr>
  </w:style>
  <w:style w:type="paragraph" w:styleId="Heading2">
    <w:name w:val="heading 2"/>
    <w:basedOn w:val="Normal"/>
    <w:next w:val="Normal"/>
    <w:link w:val="Heading2Char"/>
    <w:uiPriority w:val="9"/>
    <w:unhideWhenUsed/>
    <w:qFormat/>
    <w:rsid w:val="00495283"/>
    <w:pPr>
      <w:keepNext/>
      <w:keepLines/>
      <w:numPr>
        <w:ilvl w:val="1"/>
        <w:numId w:val="16"/>
      </w:numPr>
      <w:spacing w:after="0"/>
      <w:outlineLvl w:val="1"/>
    </w:pPr>
    <w:rPr>
      <w:rFonts w:asciiTheme="majorHAnsi" w:eastAsiaTheme="majorEastAsia" w:hAnsiTheme="majorHAnsi" w:cstheme="majorBidi"/>
      <w:b/>
      <w:color w:val="2E74B5" w:themeColor="accent1" w:themeShade="BF"/>
      <w:sz w:val="26"/>
      <w:szCs w:val="26"/>
    </w:rPr>
  </w:style>
  <w:style w:type="paragraph" w:styleId="Heading3">
    <w:name w:val="heading 3"/>
    <w:basedOn w:val="Normal"/>
    <w:next w:val="Normal"/>
    <w:link w:val="Heading3Char"/>
    <w:uiPriority w:val="9"/>
    <w:semiHidden/>
    <w:unhideWhenUsed/>
    <w:qFormat/>
    <w:rsid w:val="00B7159E"/>
    <w:pPr>
      <w:keepNext/>
      <w:keepLines/>
      <w:numPr>
        <w:ilvl w:val="2"/>
        <w:numId w:val="16"/>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B7159E"/>
    <w:pPr>
      <w:keepNext/>
      <w:keepLines/>
      <w:numPr>
        <w:ilvl w:val="3"/>
        <w:numId w:val="16"/>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B7159E"/>
    <w:pPr>
      <w:keepNext/>
      <w:keepLines/>
      <w:numPr>
        <w:ilvl w:val="4"/>
        <w:numId w:val="16"/>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B7159E"/>
    <w:pPr>
      <w:keepNext/>
      <w:keepLines/>
      <w:numPr>
        <w:ilvl w:val="5"/>
        <w:numId w:val="16"/>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B7159E"/>
    <w:pPr>
      <w:keepNext/>
      <w:keepLines/>
      <w:numPr>
        <w:ilvl w:val="6"/>
        <w:numId w:val="16"/>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B7159E"/>
    <w:pPr>
      <w:keepNext/>
      <w:keepLines/>
      <w:numPr>
        <w:ilvl w:val="7"/>
        <w:numId w:val="16"/>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7159E"/>
    <w:pPr>
      <w:keepNext/>
      <w:keepLines/>
      <w:numPr>
        <w:ilvl w:val="8"/>
        <w:numId w:val="1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F4F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4FE4"/>
  </w:style>
  <w:style w:type="paragraph" w:styleId="Footer">
    <w:name w:val="footer"/>
    <w:basedOn w:val="Normal"/>
    <w:link w:val="FooterChar"/>
    <w:uiPriority w:val="99"/>
    <w:unhideWhenUsed/>
    <w:rsid w:val="00BF4F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4FE4"/>
  </w:style>
  <w:style w:type="character" w:customStyle="1" w:styleId="Heading1Char">
    <w:name w:val="Heading 1 Char"/>
    <w:basedOn w:val="DefaultParagraphFont"/>
    <w:link w:val="Heading1"/>
    <w:uiPriority w:val="9"/>
    <w:rsid w:val="00AB582D"/>
    <w:rPr>
      <w:rFonts w:asciiTheme="majorHAnsi" w:eastAsiaTheme="majorEastAsia" w:hAnsiTheme="majorHAnsi" w:cstheme="majorBidi"/>
      <w:b/>
      <w:color w:val="2E74B5" w:themeColor="accent1" w:themeShade="BF"/>
      <w:sz w:val="32"/>
      <w:szCs w:val="32"/>
    </w:rPr>
  </w:style>
  <w:style w:type="paragraph" w:styleId="ListParagraph">
    <w:name w:val="List Paragraph"/>
    <w:basedOn w:val="Normal"/>
    <w:uiPriority w:val="34"/>
    <w:qFormat/>
    <w:rsid w:val="00475216"/>
    <w:pPr>
      <w:ind w:left="720"/>
      <w:contextualSpacing/>
    </w:pPr>
  </w:style>
  <w:style w:type="character" w:styleId="Hyperlink">
    <w:name w:val="Hyperlink"/>
    <w:basedOn w:val="DefaultParagraphFont"/>
    <w:uiPriority w:val="99"/>
    <w:unhideWhenUsed/>
    <w:rsid w:val="003762F9"/>
    <w:rPr>
      <w:color w:val="0563C1" w:themeColor="hyperlink"/>
      <w:u w:val="single"/>
    </w:rPr>
  </w:style>
  <w:style w:type="character" w:customStyle="1" w:styleId="Heading2Char">
    <w:name w:val="Heading 2 Char"/>
    <w:basedOn w:val="DefaultParagraphFont"/>
    <w:link w:val="Heading2"/>
    <w:uiPriority w:val="9"/>
    <w:rsid w:val="00495283"/>
    <w:rPr>
      <w:rFonts w:asciiTheme="majorHAnsi" w:eastAsiaTheme="majorEastAsia" w:hAnsiTheme="majorHAnsi" w:cstheme="majorBidi"/>
      <w:b/>
      <w:color w:val="2E74B5" w:themeColor="accent1" w:themeShade="BF"/>
      <w:sz w:val="26"/>
      <w:szCs w:val="26"/>
    </w:rPr>
  </w:style>
  <w:style w:type="character" w:customStyle="1" w:styleId="Heading3Char">
    <w:name w:val="Heading 3 Char"/>
    <w:basedOn w:val="DefaultParagraphFont"/>
    <w:link w:val="Heading3"/>
    <w:uiPriority w:val="9"/>
    <w:semiHidden/>
    <w:rsid w:val="00B7159E"/>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7159E"/>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B7159E"/>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B7159E"/>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B7159E"/>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B7159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7159E"/>
    <w:rPr>
      <w:rFonts w:asciiTheme="majorHAnsi" w:eastAsiaTheme="majorEastAsia" w:hAnsiTheme="majorHAnsi" w:cstheme="majorBidi"/>
      <w:i/>
      <w:iCs/>
      <w:color w:val="272727" w:themeColor="text1" w:themeTint="D8"/>
      <w:sz w:val="21"/>
      <w:szCs w:val="21"/>
    </w:rPr>
  </w:style>
  <w:style w:type="paragraph" w:customStyle="1" w:styleId="Pa27">
    <w:name w:val="Pa27"/>
    <w:basedOn w:val="Normal"/>
    <w:next w:val="Normal"/>
    <w:uiPriority w:val="99"/>
    <w:rsid w:val="00700283"/>
    <w:pPr>
      <w:autoSpaceDE w:val="0"/>
      <w:autoSpaceDN w:val="0"/>
      <w:adjustRightInd w:val="0"/>
      <w:spacing w:after="0" w:line="241" w:lineRule="atLeast"/>
    </w:pPr>
    <w:rPr>
      <w:rFonts w:ascii="Optima LT Std DemiBold" w:hAnsi="Optima LT Std DemiBold"/>
      <w:sz w:val="24"/>
      <w:szCs w:val="24"/>
    </w:rPr>
  </w:style>
  <w:style w:type="paragraph" w:customStyle="1" w:styleId="Default">
    <w:name w:val="Default"/>
    <w:rsid w:val="00ED6829"/>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ED6829"/>
    <w:rPr>
      <w:sz w:val="16"/>
      <w:szCs w:val="16"/>
    </w:rPr>
  </w:style>
  <w:style w:type="paragraph" w:styleId="CommentText">
    <w:name w:val="annotation text"/>
    <w:basedOn w:val="Normal"/>
    <w:link w:val="CommentTextChar"/>
    <w:uiPriority w:val="99"/>
    <w:semiHidden/>
    <w:unhideWhenUsed/>
    <w:rsid w:val="00ED6829"/>
    <w:pPr>
      <w:spacing w:line="240" w:lineRule="auto"/>
    </w:pPr>
    <w:rPr>
      <w:sz w:val="20"/>
      <w:szCs w:val="20"/>
    </w:rPr>
  </w:style>
  <w:style w:type="character" w:customStyle="1" w:styleId="CommentTextChar">
    <w:name w:val="Comment Text Char"/>
    <w:basedOn w:val="DefaultParagraphFont"/>
    <w:link w:val="CommentText"/>
    <w:uiPriority w:val="99"/>
    <w:semiHidden/>
    <w:rsid w:val="00ED6829"/>
    <w:rPr>
      <w:sz w:val="20"/>
      <w:szCs w:val="20"/>
    </w:rPr>
  </w:style>
  <w:style w:type="paragraph" w:styleId="BalloonText">
    <w:name w:val="Balloon Text"/>
    <w:basedOn w:val="Normal"/>
    <w:link w:val="BalloonTextChar"/>
    <w:uiPriority w:val="99"/>
    <w:semiHidden/>
    <w:unhideWhenUsed/>
    <w:rsid w:val="00ED682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6829"/>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12594E"/>
    <w:rPr>
      <w:b/>
      <w:bCs/>
    </w:rPr>
  </w:style>
  <w:style w:type="character" w:customStyle="1" w:styleId="CommentSubjectChar">
    <w:name w:val="Comment Subject Char"/>
    <w:basedOn w:val="CommentTextChar"/>
    <w:link w:val="CommentSubject"/>
    <w:uiPriority w:val="99"/>
    <w:semiHidden/>
    <w:rsid w:val="0012594E"/>
    <w:rPr>
      <w:b/>
      <w:bCs/>
      <w:sz w:val="20"/>
      <w:szCs w:val="20"/>
    </w:rPr>
  </w:style>
  <w:style w:type="paragraph" w:customStyle="1" w:styleId="Pa13">
    <w:name w:val="Pa13"/>
    <w:basedOn w:val="Normal"/>
    <w:next w:val="Normal"/>
    <w:uiPriority w:val="99"/>
    <w:rsid w:val="003C4EF1"/>
    <w:pPr>
      <w:autoSpaceDE w:val="0"/>
      <w:autoSpaceDN w:val="0"/>
      <w:adjustRightInd w:val="0"/>
      <w:spacing w:after="0" w:line="201" w:lineRule="atLeast"/>
    </w:pPr>
    <w:rPr>
      <w:rFonts w:ascii="Optima LT Std DemiBold" w:hAnsi="Optima LT Std DemiBold"/>
      <w:sz w:val="24"/>
      <w:szCs w:val="24"/>
    </w:rPr>
  </w:style>
  <w:style w:type="paragraph" w:styleId="NoSpacing">
    <w:name w:val="No Spacing"/>
    <w:uiPriority w:val="1"/>
    <w:qFormat/>
    <w:rsid w:val="00DA12A3"/>
    <w:pPr>
      <w:spacing w:after="0" w:line="240" w:lineRule="auto"/>
    </w:pPr>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536655">
      <w:bodyDiv w:val="1"/>
      <w:marLeft w:val="0"/>
      <w:marRight w:val="0"/>
      <w:marTop w:val="0"/>
      <w:marBottom w:val="0"/>
      <w:divBdr>
        <w:top w:val="none" w:sz="0" w:space="0" w:color="auto"/>
        <w:left w:val="none" w:sz="0" w:space="0" w:color="auto"/>
        <w:bottom w:val="none" w:sz="0" w:space="0" w:color="auto"/>
        <w:right w:val="none" w:sz="0" w:space="0" w:color="auto"/>
      </w:divBdr>
    </w:div>
    <w:div w:id="178090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744</Words>
  <Characters>4242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World Food Programme</Company>
  <LinksUpToDate>false</LinksUpToDate>
  <CharactersWithSpaces>4977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KASSE Rikke</dc:creator>
  <cp:lastModifiedBy>Ben</cp:lastModifiedBy>
  <cp:revision>5</cp:revision>
  <cp:lastPrinted>2016-08-24T10:31:00Z</cp:lastPrinted>
  <dcterms:created xsi:type="dcterms:W3CDTF">2016-09-07T10:39:00Z</dcterms:created>
  <dcterms:modified xsi:type="dcterms:W3CDTF">2016-09-15T08:51:00Z</dcterms:modified>
</cp:coreProperties>
</file>